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What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used</w:t>
      </w:r>
      <w:r>
        <w:rPr>
          <w:spacing w:val="1"/>
        </w:rPr>
        <w:t> </w:t>
      </w:r>
      <w:r>
        <w:rPr>
          <w:spacing w:val="-2"/>
        </w:rPr>
        <w:t>paint?</w:t>
      </w:r>
    </w:p>
    <w:p>
      <w:pPr>
        <w:spacing w:before="107"/>
        <w:ind w:left="0" w:right="18" w:firstLine="0"/>
        <w:jc w:val="center"/>
        <w:rPr>
          <w:sz w:val="26"/>
        </w:rPr>
      </w:pPr>
      <w:r>
        <w:rPr>
          <w:sz w:val="26"/>
        </w:rPr>
        <w:t>Not</w:t>
      </w:r>
      <w:r>
        <w:rPr>
          <w:spacing w:val="-7"/>
          <w:sz w:val="26"/>
        </w:rPr>
        <w:t> </w:t>
      </w:r>
      <w:r>
        <w:rPr>
          <w:sz w:val="26"/>
        </w:rPr>
        <w:t>sure</w:t>
      </w:r>
      <w:r>
        <w:rPr>
          <w:spacing w:val="-3"/>
          <w:sz w:val="26"/>
        </w:rPr>
        <w:t> </w:t>
      </w:r>
      <w:r>
        <w:rPr>
          <w:sz w:val="26"/>
        </w:rPr>
        <w:t>what</w:t>
      </w:r>
      <w:r>
        <w:rPr>
          <w:spacing w:val="-5"/>
          <w:sz w:val="26"/>
        </w:rPr>
        <w:t> </w:t>
      </w:r>
      <w:r>
        <w:rPr>
          <w:sz w:val="26"/>
        </w:rPr>
        <w:t>to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3"/>
          <w:sz w:val="26"/>
        </w:rPr>
        <w:t> </w:t>
      </w:r>
      <w:r>
        <w:rPr>
          <w:sz w:val="26"/>
        </w:rPr>
        <w:t>with</w:t>
      </w:r>
      <w:r>
        <w:rPr>
          <w:spacing w:val="-6"/>
          <w:sz w:val="26"/>
        </w:rPr>
        <w:t> </w:t>
      </w:r>
      <w:r>
        <w:rPr>
          <w:sz w:val="26"/>
        </w:rPr>
        <w:t>old</w:t>
      </w:r>
      <w:r>
        <w:rPr>
          <w:spacing w:val="-5"/>
          <w:sz w:val="26"/>
        </w:rPr>
        <w:t> </w:t>
      </w:r>
      <w:r>
        <w:rPr>
          <w:sz w:val="26"/>
        </w:rPr>
        <w:t>paint?</w:t>
      </w:r>
      <w:r>
        <w:rPr>
          <w:spacing w:val="-2"/>
          <w:sz w:val="26"/>
        </w:rPr>
        <w:t> </w:t>
      </w:r>
      <w:r>
        <w:rPr>
          <w:sz w:val="26"/>
        </w:rPr>
        <w:t>Here</w:t>
      </w:r>
      <w:r>
        <w:rPr>
          <w:spacing w:val="-5"/>
          <w:sz w:val="26"/>
        </w:rPr>
        <w:t> </w:t>
      </w:r>
      <w:r>
        <w:rPr>
          <w:sz w:val="26"/>
        </w:rPr>
        <w:t>are</w:t>
      </w:r>
      <w:r>
        <w:rPr>
          <w:spacing w:val="-6"/>
          <w:sz w:val="26"/>
        </w:rPr>
        <w:t> </w:t>
      </w:r>
      <w:r>
        <w:rPr>
          <w:sz w:val="26"/>
        </w:rPr>
        <w:t>some</w:t>
      </w:r>
      <w:r>
        <w:rPr>
          <w:spacing w:val="-7"/>
          <w:sz w:val="26"/>
        </w:rPr>
        <w:t> </w:t>
      </w:r>
      <w:r>
        <w:rPr>
          <w:sz w:val="26"/>
        </w:rPr>
        <w:t>tips</w:t>
      </w:r>
      <w:r>
        <w:rPr>
          <w:spacing w:val="-4"/>
          <w:sz w:val="26"/>
        </w:rPr>
        <w:t> </w:t>
      </w:r>
      <w:r>
        <w:rPr>
          <w:sz w:val="26"/>
        </w:rPr>
        <w:t>to</w:t>
      </w:r>
      <w:r>
        <w:rPr>
          <w:spacing w:val="-7"/>
          <w:sz w:val="26"/>
        </w:rPr>
        <w:t> </w:t>
      </w:r>
      <w:r>
        <w:rPr>
          <w:sz w:val="26"/>
        </w:rPr>
        <w:t>condense</w:t>
      </w:r>
      <w:r>
        <w:rPr>
          <w:spacing w:val="-5"/>
          <w:sz w:val="26"/>
        </w:rPr>
        <w:t> </w:t>
      </w:r>
      <w:r>
        <w:rPr>
          <w:sz w:val="26"/>
        </w:rPr>
        <w:t>or</w:t>
      </w:r>
      <w:r>
        <w:rPr>
          <w:spacing w:val="-6"/>
          <w:sz w:val="26"/>
        </w:rPr>
        <w:t> </w:t>
      </w:r>
      <w:r>
        <w:rPr>
          <w:sz w:val="26"/>
        </w:rPr>
        <w:t>dispose</w:t>
      </w:r>
      <w:r>
        <w:rPr>
          <w:spacing w:val="-5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your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surplus!</w:t>
      </w:r>
    </w:p>
    <w:p>
      <w:pPr>
        <w:pStyle w:val="BodyText"/>
        <w:spacing w:before="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446684</wp:posOffset>
                </wp:positionH>
                <wp:positionV relativeFrom="paragraph">
                  <wp:posOffset>140395</wp:posOffset>
                </wp:positionV>
                <wp:extent cx="916559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16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5590" h="0">
                              <a:moveTo>
                                <a:pt x="0" y="0"/>
                              </a:moveTo>
                              <a:lnTo>
                                <a:pt x="9165056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2066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72001pt;margin-top:11.054785pt;width:721.7pt;height:.1pt;mso-position-horizontal-relative:page;mso-position-vertical-relative:paragraph;z-index:-15728640;mso-wrap-distance-left:0;mso-wrap-distance-right:0" id="docshape1" coordorigin="703,221" coordsize="14434,0" path="m703,221l15137,221e" filled="false" stroked="true" strokeweight="1.25pt" strokecolor="#2066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5840" w:h="12240" w:orient="landscape"/>
          <w:pgMar w:top="680" w:bottom="280" w:left="360" w:right="360"/>
        </w:sectPr>
      </w:pPr>
    </w:p>
    <w:p>
      <w:pPr>
        <w:pStyle w:val="Heading2"/>
        <w:ind w:left="417"/>
      </w:pPr>
      <w:r>
        <w:rPr/>
        <w:t>Determine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paint</w:t>
      </w:r>
      <w:r>
        <w:rPr>
          <w:spacing w:val="-5"/>
        </w:rPr>
        <w:t> </w:t>
      </w:r>
      <w:r>
        <w:rPr/>
        <w:t>is</w:t>
      </w:r>
      <w:r>
        <w:rPr>
          <w:spacing w:val="-2"/>
        </w:rPr>
        <w:t> </w:t>
      </w:r>
      <w:r>
        <w:rPr/>
        <w:t>still</w:t>
      </w:r>
      <w:r>
        <w:rPr>
          <w:spacing w:val="-1"/>
        </w:rPr>
        <w:t> </w:t>
      </w:r>
      <w:r>
        <w:rPr>
          <w:spacing w:val="-2"/>
        </w:rPr>
        <w:t>usable</w:t>
      </w:r>
    </w:p>
    <w:p>
      <w:pPr>
        <w:pStyle w:val="BodyText"/>
        <w:spacing w:line="283" w:lineRule="auto" w:before="113"/>
        <w:ind w:left="417" w:right="83"/>
      </w:pPr>
      <w:r>
        <w:rPr/>
        <w:t>Solvent-based</w:t>
      </w:r>
      <w:r>
        <w:rPr>
          <w:spacing w:val="-7"/>
        </w:rPr>
        <w:t> </w:t>
      </w:r>
      <w:r>
        <w:rPr/>
        <w:t>paints</w:t>
      </w:r>
      <w:r>
        <w:rPr>
          <w:spacing w:val="-6"/>
        </w:rPr>
        <w:t> </w:t>
      </w:r>
      <w:r>
        <w:rPr/>
        <w:t>have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15-year</w:t>
      </w:r>
      <w:r>
        <w:rPr>
          <w:spacing w:val="-6"/>
        </w:rPr>
        <w:t> </w:t>
      </w:r>
      <w:r>
        <w:rPr/>
        <w:t>shelf</w:t>
      </w:r>
      <w:r>
        <w:rPr>
          <w:spacing w:val="-5"/>
        </w:rPr>
        <w:t> </w:t>
      </w:r>
      <w:r>
        <w:rPr/>
        <w:t>life. If you can stir it, it’s probably okay to use (even if you have to remove the “skin” on the surface first). Latex has a shelf life of 10</w:t>
      </w:r>
    </w:p>
    <w:p>
      <w:pPr>
        <w:pStyle w:val="BodyText"/>
        <w:spacing w:line="283" w:lineRule="auto" w:before="4"/>
        <w:ind w:left="417" w:right="117"/>
      </w:pPr>
      <w:r>
        <w:rPr/>
        <w:t>years.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it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6"/>
        </w:rPr>
        <w:t> </w:t>
      </w:r>
      <w:r>
        <w:rPr/>
        <w:t>subject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freezing,</w:t>
      </w:r>
      <w:r>
        <w:rPr>
          <w:spacing w:val="-2"/>
        </w:rPr>
        <w:t> </w:t>
      </w:r>
      <w:r>
        <w:rPr/>
        <w:t>it</w:t>
      </w:r>
      <w:r>
        <w:rPr>
          <w:spacing w:val="-7"/>
        </w:rPr>
        <w:t> </w:t>
      </w:r>
      <w:r>
        <w:rPr/>
        <w:t>may not be usable. Test by stirring and brushing onto newspaper. If there are lumps, the paint is no longer usable.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</w:p>
    <w:p>
      <w:pPr>
        <w:spacing w:line="240" w:lineRule="auto"/>
        <w:ind w:left="360" w:right="-13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004313" cy="201672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313" cy="201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</w:pPr>
      <w:r>
        <w:rPr>
          <w:b w:val="0"/>
        </w:rPr>
        <w:br w:type="column"/>
      </w:r>
      <w:r>
        <w:rPr/>
        <w:t>Look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ways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leftovers</w:t>
      </w:r>
    </w:p>
    <w:p>
      <w:pPr>
        <w:pStyle w:val="BodyText"/>
        <w:spacing w:line="283" w:lineRule="auto" w:before="113"/>
        <w:ind w:left="304"/>
      </w:pPr>
      <w:r>
        <w:rPr/>
        <w:t>Even</w:t>
      </w:r>
      <w:r>
        <w:rPr>
          <w:spacing w:val="-5"/>
        </w:rPr>
        <w:t> </w:t>
      </w:r>
      <w:r>
        <w:rPr/>
        <w:t>if</w:t>
      </w:r>
      <w:r>
        <w:rPr>
          <w:spacing w:val="-1"/>
        </w:rPr>
        <w:t> </w:t>
      </w:r>
      <w:r>
        <w:rPr/>
        <w:t>you’re</w:t>
      </w:r>
      <w:r>
        <w:rPr>
          <w:spacing w:val="-5"/>
        </w:rPr>
        <w:t> </w:t>
      </w:r>
      <w:r>
        <w:rPr/>
        <w:t>sure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paint</w:t>
      </w:r>
      <w:r>
        <w:rPr>
          <w:spacing w:val="-4"/>
        </w:rPr>
        <w:t> </w:t>
      </w:r>
      <w:r>
        <w:rPr/>
        <w:t>color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one you’ll return to, consider mixing leftovers of 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paint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(latex</w:t>
      </w:r>
      <w:r>
        <w:rPr>
          <w:spacing w:val="-1"/>
        </w:rPr>
        <w:t> </w:t>
      </w:r>
      <w:r>
        <w:rPr/>
        <w:t>with latex, acrylic with acrylic, oil with oil) to use as an undercoat primer.</w:t>
      </w:r>
    </w:p>
    <w:p>
      <w:pPr>
        <w:pStyle w:val="Heading2"/>
        <w:spacing w:before="243"/>
      </w:pPr>
      <w:r>
        <w:rPr/>
        <w:t>Donate</w:t>
      </w:r>
      <w:r>
        <w:rPr>
          <w:spacing w:val="-3"/>
        </w:rPr>
        <w:t> </w:t>
      </w:r>
      <w:r>
        <w:rPr/>
        <w:t>paints you</w:t>
      </w:r>
      <w:r>
        <w:rPr>
          <w:spacing w:val="-3"/>
        </w:rPr>
        <w:t> </w:t>
      </w:r>
      <w:r>
        <w:rPr/>
        <w:t>don’t</w:t>
      </w:r>
      <w:r>
        <w:rPr>
          <w:spacing w:val="-5"/>
        </w:rPr>
        <w:t> </w:t>
      </w:r>
      <w:r>
        <w:rPr>
          <w:spacing w:val="-4"/>
        </w:rPr>
        <w:t>want</w:t>
      </w:r>
    </w:p>
    <w:p>
      <w:pPr>
        <w:pStyle w:val="BodyText"/>
        <w:spacing w:line="283" w:lineRule="auto" w:before="113"/>
        <w:ind w:left="304" w:right="36"/>
      </w:pPr>
      <w:r>
        <w:rPr/>
        <w:t>If you have good paint that you can’t use, offer it to family, friends and neighbors, or call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local</w:t>
      </w:r>
      <w:r>
        <w:rPr>
          <w:spacing w:val="-7"/>
        </w:rPr>
        <w:t> </w:t>
      </w:r>
      <w:r>
        <w:rPr/>
        <w:t>paint</w:t>
      </w:r>
      <w:r>
        <w:rPr>
          <w:spacing w:val="-5"/>
        </w:rPr>
        <w:t> </w:t>
      </w:r>
      <w:r>
        <w:rPr/>
        <w:t>contractor.</w:t>
      </w:r>
      <w:r>
        <w:rPr>
          <w:spacing w:val="-6"/>
        </w:rPr>
        <w:t> </w:t>
      </w:r>
      <w:r>
        <w:rPr/>
        <w:t>Some</w:t>
      </w:r>
      <w:r>
        <w:rPr>
          <w:spacing w:val="-8"/>
        </w:rPr>
        <w:t> </w:t>
      </w:r>
      <w:r>
        <w:rPr/>
        <w:t>charities such</w:t>
      </w:r>
      <w:r>
        <w:rPr>
          <w:spacing w:val="-5"/>
        </w:rPr>
        <w:t> </w:t>
      </w:r>
      <w:r>
        <w:rPr/>
        <w:t>as</w:t>
      </w:r>
      <w:r>
        <w:rPr>
          <w:spacing w:val="-8"/>
        </w:rPr>
        <w:t> </w:t>
      </w:r>
      <w:r>
        <w:rPr/>
        <w:t>Habitat</w:t>
      </w:r>
      <w:r>
        <w:rPr>
          <w:spacing w:val="-8"/>
        </w:rPr>
        <w:t> </w:t>
      </w:r>
      <w:r>
        <w:rPr/>
        <w:t>for</w:t>
      </w:r>
      <w:r>
        <w:rPr>
          <w:spacing w:val="-4"/>
        </w:rPr>
        <w:t> </w:t>
      </w:r>
      <w:r>
        <w:rPr/>
        <w:t>Humanities</w:t>
      </w:r>
      <w:r>
        <w:rPr>
          <w:spacing w:val="-5"/>
        </w:rPr>
        <w:t> </w:t>
      </w:r>
      <w:r>
        <w:rPr/>
        <w:t>may</w:t>
      </w:r>
      <w:r>
        <w:rPr>
          <w:spacing w:val="-7"/>
        </w:rPr>
        <w:t> </w:t>
      </w:r>
      <w:r>
        <w:rPr/>
        <w:t>accept paint donations.</w:t>
      </w:r>
    </w:p>
    <w:p>
      <w:pPr>
        <w:pStyle w:val="Heading2"/>
        <w:spacing w:line="283" w:lineRule="auto" w:before="241"/>
      </w:pPr>
      <w:r>
        <w:rPr/>
        <w:t>Dispose</w:t>
      </w:r>
      <w:r>
        <w:rPr>
          <w:spacing w:val="-5"/>
        </w:rPr>
        <w:t> </w:t>
      </w:r>
      <w:r>
        <w:rPr/>
        <w:t>of</w:t>
      </w:r>
      <w:r>
        <w:rPr>
          <w:spacing w:val="-9"/>
        </w:rPr>
        <w:t> </w:t>
      </w:r>
      <w:r>
        <w:rPr/>
        <w:t>what</w:t>
      </w:r>
      <w:r>
        <w:rPr>
          <w:spacing w:val="-6"/>
        </w:rPr>
        <w:t> </w:t>
      </w:r>
      <w:r>
        <w:rPr/>
        <w:t>you</w:t>
      </w:r>
      <w:r>
        <w:rPr>
          <w:spacing w:val="-4"/>
        </w:rPr>
        <w:t> </w:t>
      </w:r>
      <w:r>
        <w:rPr/>
        <w:t>can’t</w:t>
      </w:r>
      <w:r>
        <w:rPr>
          <w:spacing w:val="-6"/>
        </w:rPr>
        <w:t> </w:t>
      </w:r>
      <w:r>
        <w:rPr/>
        <w:t>use</w:t>
      </w:r>
      <w:r>
        <w:rPr>
          <w:spacing w:val="-7"/>
        </w:rPr>
        <w:t> </w:t>
      </w:r>
      <w:r>
        <w:rPr/>
        <w:t>and can’t give away</w:t>
      </w:r>
    </w:p>
    <w:p>
      <w:pPr>
        <w:pStyle w:val="BodyText"/>
        <w:spacing w:line="283" w:lineRule="auto" w:before="63"/>
        <w:ind w:left="304"/>
      </w:pPr>
      <w:r>
        <w:rPr/>
        <w:t>How you do it depends upon the type of paint, but it’s critical that it be done in a manner</w:t>
      </w:r>
      <w:r>
        <w:rPr>
          <w:spacing w:val="-8"/>
        </w:rPr>
        <w:t> </w:t>
      </w:r>
      <w:r>
        <w:rPr/>
        <w:t>that</w:t>
      </w:r>
      <w:r>
        <w:rPr>
          <w:spacing w:val="-5"/>
        </w:rPr>
        <w:t> </w:t>
      </w:r>
      <w:r>
        <w:rPr/>
        <w:t>won’t</w:t>
      </w:r>
      <w:r>
        <w:rPr>
          <w:spacing w:val="-5"/>
        </w:rPr>
        <w:t> </w:t>
      </w:r>
      <w:r>
        <w:rPr/>
        <w:t>cause</w:t>
      </w:r>
      <w:r>
        <w:rPr>
          <w:spacing w:val="-8"/>
        </w:rPr>
        <w:t> </w:t>
      </w:r>
      <w:r>
        <w:rPr/>
        <w:t>pollution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drinking water or waterways. One</w:t>
      </w:r>
      <w:r>
        <w:rPr>
          <w:spacing w:val="-2"/>
        </w:rPr>
        <w:t> </w:t>
      </w:r>
      <w:r>
        <w:rPr/>
        <w:t>gallon of paint can contaminate many thousands of gallons of water, harm fish and aquatic plant life, and eventually poison the food chain.</w:t>
      </w:r>
    </w:p>
    <w:p>
      <w:pPr>
        <w:pStyle w:val="Heading2"/>
        <w:spacing w:before="93"/>
        <w:ind w:left="360"/>
      </w:pPr>
      <w:r>
        <w:rPr>
          <w:b w:val="0"/>
        </w:rPr>
        <w:br w:type="column"/>
      </w:r>
      <w:r>
        <w:rPr/>
        <w:t>The</w:t>
      </w:r>
      <w:r>
        <w:rPr>
          <w:spacing w:val="-3"/>
        </w:rPr>
        <w:t> </w:t>
      </w:r>
      <w:r>
        <w:rPr/>
        <w:t>proper</w:t>
      </w:r>
      <w:r>
        <w:rPr>
          <w:spacing w:val="-4"/>
        </w:rPr>
        <w:t> </w:t>
      </w:r>
      <w:r>
        <w:rPr/>
        <w:t>ways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dispose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paint:</w:t>
      </w:r>
    </w:p>
    <w:p>
      <w:pPr>
        <w:pStyle w:val="BodyText"/>
        <w:spacing w:before="16"/>
        <w:rPr>
          <w:b/>
          <w:sz w:val="24"/>
        </w:rPr>
      </w:pPr>
    </w:p>
    <w:p>
      <w:pPr>
        <w:pStyle w:val="Heading3"/>
      </w:pPr>
      <w:r>
        <w:rPr>
          <w:color w:val="206620"/>
        </w:rPr>
        <w:t>Latex</w:t>
      </w:r>
      <w:r>
        <w:rPr>
          <w:color w:val="206620"/>
          <w:spacing w:val="-5"/>
        </w:rPr>
        <w:t> </w:t>
      </w:r>
      <w:r>
        <w:rPr>
          <w:color w:val="206620"/>
        </w:rPr>
        <w:t>and</w:t>
      </w:r>
      <w:r>
        <w:rPr>
          <w:color w:val="206620"/>
          <w:spacing w:val="-5"/>
        </w:rPr>
        <w:t> </w:t>
      </w:r>
      <w:r>
        <w:rPr>
          <w:color w:val="206620"/>
        </w:rPr>
        <w:t>acrylic</w:t>
      </w:r>
      <w:r>
        <w:rPr>
          <w:color w:val="206620"/>
          <w:spacing w:val="-4"/>
        </w:rPr>
        <w:t> </w:t>
      </w:r>
      <w:r>
        <w:rPr>
          <w:color w:val="206620"/>
          <w:spacing w:val="-2"/>
        </w:rPr>
        <w:t>paints</w:t>
      </w:r>
    </w:p>
    <w:p>
      <w:pPr>
        <w:pStyle w:val="BodyText"/>
        <w:spacing w:line="283" w:lineRule="auto" w:before="108"/>
        <w:ind w:left="360" w:right="460"/>
      </w:pPr>
      <w:r>
        <w:rPr/>
        <w:t>Many municipalities will allow you to solidify these paints and throw them away with the household trash. One way to do this is to mix it with a clay-based cat litter at a ratio of two parts litter to one part paint. Do this in a well-ventilated place. Another way is to use an additive to harden the paint. These additives are</w:t>
      </w:r>
      <w:r>
        <w:rPr>
          <w:spacing w:val="-4"/>
        </w:rPr>
        <w:t> </w:t>
      </w:r>
      <w:r>
        <w:rPr/>
        <w:t>sold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many</w:t>
      </w:r>
      <w:r>
        <w:rPr>
          <w:spacing w:val="-7"/>
        </w:rPr>
        <w:t> </w:t>
      </w:r>
      <w:r>
        <w:rPr/>
        <w:t>hardware</w:t>
      </w:r>
      <w:r>
        <w:rPr>
          <w:spacing w:val="-4"/>
        </w:rPr>
        <w:t> </w:t>
      </w:r>
      <w:r>
        <w:rPr/>
        <w:t>stores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line. Another way to harden paint is kitty litter.</w:t>
      </w:r>
    </w:p>
    <w:p>
      <w:pPr>
        <w:pStyle w:val="Heading3"/>
        <w:spacing w:before="246"/>
      </w:pPr>
      <w:r>
        <w:rPr>
          <w:color w:val="206620"/>
        </w:rPr>
        <w:t>Oil-based</w:t>
      </w:r>
      <w:r>
        <w:rPr>
          <w:color w:val="206620"/>
          <w:spacing w:val="-6"/>
        </w:rPr>
        <w:t> </w:t>
      </w:r>
      <w:r>
        <w:rPr>
          <w:color w:val="206620"/>
        </w:rPr>
        <w:t>and</w:t>
      </w:r>
      <w:r>
        <w:rPr>
          <w:color w:val="206620"/>
          <w:spacing w:val="-6"/>
        </w:rPr>
        <w:t> </w:t>
      </w:r>
      <w:r>
        <w:rPr>
          <w:color w:val="206620"/>
        </w:rPr>
        <w:t>alkyd</w:t>
      </w:r>
      <w:r>
        <w:rPr>
          <w:color w:val="206620"/>
          <w:spacing w:val="-6"/>
        </w:rPr>
        <w:t> </w:t>
      </w:r>
      <w:r>
        <w:rPr>
          <w:color w:val="206620"/>
          <w:spacing w:val="-2"/>
        </w:rPr>
        <w:t>paints</w:t>
      </w:r>
    </w:p>
    <w:p>
      <w:pPr>
        <w:pStyle w:val="BodyText"/>
        <w:spacing w:line="283" w:lineRule="auto" w:before="107"/>
        <w:ind w:left="360" w:right="374"/>
      </w:pPr>
      <w:r>
        <w:rPr/>
        <w:t>Check to see if there is a scheduled house-hold hazardous waste collection day in your community.</w:t>
      </w:r>
      <w:r>
        <w:rPr>
          <w:spacing w:val="40"/>
        </w:rPr>
        <w:t> </w:t>
      </w:r>
      <w:r>
        <w:rPr/>
        <w:t>If your community does not offer this</w:t>
      </w:r>
      <w:r>
        <w:rPr>
          <w:spacing w:val="-6"/>
        </w:rPr>
        <w:t> </w:t>
      </w:r>
      <w:r>
        <w:rPr/>
        <w:t>service,</w:t>
      </w:r>
      <w:r>
        <w:rPr>
          <w:spacing w:val="-6"/>
        </w:rPr>
        <w:t> </w:t>
      </w:r>
      <w:r>
        <w:rPr/>
        <w:t>call</w:t>
      </w:r>
      <w:r>
        <w:rPr>
          <w:spacing w:val="-7"/>
        </w:rPr>
        <w:t> </w:t>
      </w:r>
      <w:r>
        <w:rPr/>
        <w:t>your</w:t>
      </w:r>
      <w:r>
        <w:rPr>
          <w:spacing w:val="-6"/>
        </w:rPr>
        <w:t> </w:t>
      </w:r>
      <w:r>
        <w:rPr/>
        <w:t>County</w:t>
      </w:r>
      <w:r>
        <w:rPr>
          <w:spacing w:val="-7"/>
        </w:rPr>
        <w:t> </w:t>
      </w:r>
      <w:r>
        <w:rPr/>
        <w:t>Extension</w:t>
      </w:r>
      <w:r>
        <w:rPr>
          <w:spacing w:val="-7"/>
        </w:rPr>
        <w:t> </w:t>
      </w:r>
      <w:r>
        <w:rPr/>
        <w:t>Home Economics Agent, the local waste management agency,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area’s</w:t>
      </w:r>
      <w:r>
        <w:rPr>
          <w:spacing w:val="-1"/>
        </w:rPr>
        <w:t> </w:t>
      </w:r>
      <w:r>
        <w:rPr/>
        <w:t>water</w:t>
      </w:r>
      <w:r>
        <w:rPr>
          <w:spacing w:val="-2"/>
        </w:rPr>
        <w:t> </w:t>
      </w:r>
      <w:r>
        <w:rPr/>
        <w:t>treat-ment plant or the local landfill, and ask</w:t>
      </w:r>
    </w:p>
    <w:p>
      <w:pPr>
        <w:pStyle w:val="BodyText"/>
        <w:spacing w:line="283" w:lineRule="auto" w:before="6"/>
        <w:ind w:left="360" w:right="460"/>
      </w:pPr>
      <w:r>
        <w:rPr/>
        <w:t>what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procedure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live.</w:t>
      </w:r>
      <w:r>
        <w:rPr>
          <w:spacing w:val="-2"/>
        </w:rPr>
        <w:t> </w:t>
      </w:r>
      <w:r>
        <w:rPr/>
        <w:t>You can also use an</w:t>
      </w:r>
      <w:r>
        <w:rPr>
          <w:spacing w:val="40"/>
        </w:rPr>
        <w:t> </w:t>
      </w:r>
      <w:r>
        <w:rPr/>
        <w:t>additive to harden the paint and</w:t>
      </w:r>
      <w:r>
        <w:rPr>
          <w:spacing w:val="-5"/>
        </w:rPr>
        <w:t> </w:t>
      </w:r>
      <w:r>
        <w:rPr/>
        <w:t>dispose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harden</w:t>
      </w:r>
      <w:r>
        <w:rPr>
          <w:spacing w:val="-5"/>
        </w:rPr>
        <w:t> </w:t>
      </w:r>
      <w:r>
        <w:rPr/>
        <w:t>paint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your</w:t>
      </w:r>
      <w:r>
        <w:rPr>
          <w:spacing w:val="-6"/>
        </w:rPr>
        <w:t> </w:t>
      </w:r>
      <w:r>
        <w:rPr/>
        <w:t>trash.</w:t>
      </w:r>
    </w:p>
    <w:p>
      <w:pPr>
        <w:pStyle w:val="BodyText"/>
        <w:spacing w:after="0" w:line="283" w:lineRule="auto"/>
        <w:sectPr>
          <w:type w:val="continuous"/>
          <w:pgSz w:w="15840" w:h="12240" w:orient="landscape"/>
          <w:pgMar w:top="680" w:bottom="280" w:left="360" w:right="360"/>
          <w:cols w:num="3" w:equalWidth="0">
            <w:col w:w="5016" w:space="40"/>
            <w:col w:w="4698" w:space="78"/>
            <w:col w:w="5288"/>
          </w:cols>
        </w:sectPr>
      </w:pPr>
    </w:p>
    <w:p>
      <w:pPr>
        <w:pStyle w:val="BodyText"/>
        <w:spacing w:before="222"/>
        <w:rPr>
          <w:sz w:val="20"/>
        </w:rPr>
      </w:pPr>
    </w:p>
    <w:p>
      <w:pPr>
        <w:spacing w:line="20" w:lineRule="exact"/>
        <w:ind w:left="34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5590" cy="15875"/>
                <wp:effectExtent l="9525" t="0" r="6984" b="317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165590" cy="15875"/>
                          <a:chExt cx="9165590" cy="158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7937"/>
                            <a:ext cx="916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5590" h="0">
                                <a:moveTo>
                                  <a:pt x="0" y="0"/>
                                </a:moveTo>
                                <a:lnTo>
                                  <a:pt x="9165056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066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7pt;height:1.25pt;mso-position-horizontal-relative:char;mso-position-vertical-relative:line" id="docshapegroup2" coordorigin="0,0" coordsize="14434,25">
                <v:line style="position:absolute" from="0,13" to="14433,13" stroked="true" strokeweight="1.25pt" strokecolor="#2066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85" w:lineRule="auto" w:before="174"/>
        <w:ind w:left="367" w:right="6220" w:firstLine="0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8231885</wp:posOffset>
            </wp:positionH>
            <wp:positionV relativeFrom="paragraph">
              <wp:posOffset>82296</wp:posOffset>
            </wp:positionV>
            <wp:extent cx="1358773" cy="64072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773" cy="640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1"/>
        </w:rPr>
        <w:t>Contact the Montana Department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of Environmental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Quality’s Materials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Management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Program: Dusti Johnson (406) 444-6499 </w:t>
      </w:r>
      <w:hyperlink r:id="rId7">
        <w:r>
          <w:rPr>
            <w:rFonts w:ascii="Calibri" w:hAnsi="Calibri"/>
            <w:color w:val="206620"/>
            <w:sz w:val="21"/>
          </w:rPr>
          <w:t>dujohnson@mt.gov</w:t>
        </w:r>
      </w:hyperlink>
    </w:p>
    <w:p>
      <w:pPr>
        <w:spacing w:line="285" w:lineRule="auto" w:before="0"/>
        <w:ind w:left="367" w:right="5133" w:firstLine="0"/>
        <w:jc w:val="left"/>
        <w:rPr>
          <w:rFonts w:ascii="Calibri"/>
          <w:sz w:val="21"/>
        </w:rPr>
      </w:pPr>
      <w:r>
        <w:rPr>
          <w:rFonts w:ascii="Calibri"/>
          <w:sz w:val="21"/>
        </w:rPr>
        <w:t>For more information</w:t>
      </w:r>
      <w:r>
        <w:rPr>
          <w:rFonts w:ascii="Calibri"/>
          <w:spacing w:val="-1"/>
          <w:sz w:val="21"/>
        </w:rPr>
        <w:t> </w:t>
      </w:r>
      <w:r>
        <w:rPr>
          <w:rFonts w:ascii="Calibri"/>
          <w:sz w:val="21"/>
        </w:rPr>
        <w:t>about</w:t>
      </w:r>
      <w:r>
        <w:rPr>
          <w:rFonts w:ascii="Calibri"/>
          <w:spacing w:val="-1"/>
          <w:sz w:val="21"/>
        </w:rPr>
        <w:t> </w:t>
      </w:r>
      <w:r>
        <w:rPr>
          <w:rFonts w:ascii="Calibri"/>
          <w:sz w:val="21"/>
        </w:rPr>
        <w:t>our programs please</w:t>
      </w:r>
      <w:r>
        <w:rPr>
          <w:rFonts w:ascii="Calibri"/>
          <w:spacing w:val="-1"/>
          <w:sz w:val="21"/>
        </w:rPr>
        <w:t> </w:t>
      </w:r>
      <w:r>
        <w:rPr>
          <w:rFonts w:ascii="Calibri"/>
          <w:sz w:val="21"/>
        </w:rPr>
        <w:t>visit</w:t>
      </w:r>
      <w:r>
        <w:rPr>
          <w:rFonts w:ascii="Calibri"/>
          <w:spacing w:val="-1"/>
          <w:sz w:val="21"/>
        </w:rPr>
        <w:t> </w:t>
      </w:r>
      <w:r>
        <w:rPr>
          <w:rFonts w:ascii="Calibri"/>
          <w:sz w:val="21"/>
        </w:rPr>
        <w:t>our website at </w:t>
      </w:r>
      <w:hyperlink r:id="rId8">
        <w:r>
          <w:rPr>
            <w:rFonts w:ascii="Calibri"/>
            <w:color w:val="206620"/>
            <w:sz w:val="21"/>
          </w:rPr>
          <w:t>https://deq.mt.gov/twr/programs/</w:t>
        </w:r>
      </w:hyperlink>
      <w:r>
        <w:rPr>
          <w:rFonts w:ascii="Calibri"/>
          <w:color w:val="206620"/>
          <w:sz w:val="21"/>
        </w:rPr>
        <w:t> </w:t>
      </w:r>
      <w:r>
        <w:rPr>
          <w:rFonts w:ascii="Calibri"/>
          <w:color w:val="206620"/>
          <w:spacing w:val="-2"/>
          <w:sz w:val="21"/>
        </w:rPr>
        <w:t>recycling</w:t>
      </w:r>
    </w:p>
    <w:sectPr>
      <w:type w:val="continuous"/>
      <w:pgSz w:w="15840" w:h="12240" w:orient="landscape"/>
      <w:pgMar w:top="6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4"/>
      <w:ind w:left="18" w:right="18"/>
      <w:jc w:val="center"/>
      <w:outlineLvl w:val="1"/>
    </w:pPr>
    <w:rPr>
      <w:rFonts w:ascii="Arial" w:hAnsi="Arial" w:eastAsia="Arial" w:cs="Arial"/>
      <w:b/>
      <w:bCs/>
      <w:sz w:val="72"/>
      <w:szCs w:val="7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9"/>
      <w:ind w:left="304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60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dujohnson@mt.gov" TargetMode="External"/><Relationship Id="rId8" Type="http://schemas.openxmlformats.org/officeDocument/2006/relationships/hyperlink" Target="https://deq.mt.gov/twr/program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Dianna</dc:creator>
  <dcterms:created xsi:type="dcterms:W3CDTF">2026-05-04T16:59:00Z</dcterms:created>
  <dcterms:modified xsi:type="dcterms:W3CDTF">2026-05-04T16:59:00Z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2026-05-04T00:00:00Z</vt:filetime>
  </property>
  <property fmtid="{D5CDD505-2E9C-101B-9397-08002B2CF9AE}" pid="5" name="Producer">
    <vt:lpwstr>Microsoft® Publisher for Microsoft 365</vt:lpwstr>
  </property>
</Properties>
</file>